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AW-11000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人員聘雇作業之稽核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不定期（每半年至少查核乙次）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不定期（每半年至少查核乙次）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配合內部控制制度CW-11000修正。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各單位需增補人員是否依規定手續申請核准後辦理。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各單位需增補人員是否依規定手續申請核准後辦理。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是否採不同方式（登報、介紹、向學校或就業中心求才）分別進行招募。</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是否採不同方式（登報、介紹、向學校或就業中心求才）分別進行招募。</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新進人員是否經過面試、試用程序，俟合格後正式任用。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新進人員是否經過面試、試用程序，俟合格後正式任用。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新進人員是否有保證人並辦妥對保手續。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新進人員是否有保證人並辦妥對保手續。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新進人員是否已建立基本資料。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新進人員是否已建立基本資料。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經理人、會計主管與主辦會計人員之任免是否由董事會以董事過半數之出席，及出席董事過半數同意之決議行之(外國證券商在臺分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除外及兼營證券商得另依主管機關規定)。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經理人、會計主管與主辦會計人員之任免是否由董事會以董事過半數之出席，及出席董事過半數同意之決議行之(外國證券商在臺分</w:t>
            </w:r>
            <w:r>
              <w:rPr>
                <w:rFonts w:hint="eastAsia" w:ascii="新細明體" w:hAnsi="新細明體" w:eastAsia="新細明體" w:cs="新細明體"/>
                <w:b/>
                <w:color w:val="FF0000 "/>
              </w:rPr>
              <w:t>公司</w:t>
            </w:r>
            <w:r>
              <w:rPr>
                <w:rFonts w:hint="eastAsia" w:ascii="新細明體" w:hAnsi="新細明體" w:eastAsia="新細明體" w:cs="新細明體"/>
              </w:rPr>
              <w:t>除外及兼營證券商得另依主管機關規定)。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新進人員若從事「證券商負責人與業務人員管理規則」第二條規定之業務時是否依規定辦妥登記。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新進人員若從事「證券商負責人與業務人員管理規則」第二條規定之業務時是否依規定辦妥登記。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業務人員兼任兼職之管理：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業務人員兼任兼職之管理：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公司內部稽核人員及風險管理人員兼任國外證券關係企業同性質職務時，是否定期(每年至少一次)對該等公司執行稽核及風險管理作業。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公司內部稽核人員及風險管理人員兼任國外證券關係企業同性質職務時，是否定期(每年至少一次)對該等公司執行稽核及風險管理作業。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除其他法令另有規定外，公司下列人員是否未辦理登記範圍以外之業務或由其他人員兼辦：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除其他法令另有規定外，公司下列人員是否未辦理登記範圍以外之業務或由其他人員兼辦：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辦理有價證券自行買賣業務之人員。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辦理有價證券自行買賣業務之人員。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內部稽核人員。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內部稽核人員。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風險管理人員。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風險管理人員。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辦理受託管理私募股權基金業務之人員。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辦理受託管理私募股權基金業務之人員。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辦理受託買賣有價證券業務之人員，及負責資產配置或財務規劃等顧問諮詢或金融商品銷售服務之人員，是否未兼辦有價證券開戶、結算交割、款券收付、保管、融資融券、承銷、主辦會計、代辦股務等職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辦理受託買賣有價證券業務之人員，及負責資產配置或財務規劃等顧問諮詢或金融商品銷售服務之人員，是否未兼辦有價證券開戶、結算交割、款券收付、保管、融資融券、承銷、主辦會計、代辦股務等職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公司是否明訂業務人員得兼任及兼辦職務之業務範圍、兼任及兼辦職務制度之管理程序，並規範兼任及兼辦職務行為不得涉有利益衝突、造成客戶混淆或損及客戶權益情事。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公司是否明訂業務人員得兼任及兼辦職務之業務範圍、兼任及兼辦職務制度之管理程序，並規範兼任及兼辦職務行為不得涉有利益衝突、造成客戶混淆或損及客戶權益情事。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公司是否評估業務人員兼任與兼辦職務行為，不得影響現行業務之執行，是否提報人員兼任與兼辦職務之時間分配解決方案。公司是否留存評估及審核紀錄。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公司是否評估業務人員兼任與兼辦職務行為，不得影響現行業務之執行，是否提報人員兼任與兼辦職務之時間分配解決方案。公司是否留存評估及審核紀錄。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業務人員從事公司本身以外任何僱傭工作，是否事先書面通知公司。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業務人員從事公司本身以外任何僱傭工作，是否事先書面通知公司。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公司收到業務人員從事公司本身以外任何僱傭工作之書面通知時，是否評估及審核該兼任行為是否符合證券商負責人與業務人員管理規則第四條第九項規定，並留存紀錄。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公司收到業務人員從事公司本身以外任何僱傭工作之書面通知時，是否評估及審核該兼任行為是否符合證券商負責人與業務人員管理規則第四條第九項規定，並留存紀錄。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公司是否建立投資決策與業務訊息區隔等利益衝突防範措施與利益衝突迴避相關作法，並經董事會通過。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公司是否建立投資決策與業務訊息區隔等利益衝突防範措施與利益衝突迴避相關作法，並經董事會通過。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公司業務人員兼任國外公司職務時，是否符合當地主管機關規範，公司是否定期(每年至少一次)查核以確保該業務人員之一切活動（包括海外行為）符合我國及海外當地國之法律規定。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公司業務人員兼任國外公司職務時，是否符合當地主管機關規範，公司是否定期(每年至少一次)查核以確保該業務人員之一切活動（包括海外行為）符合我國及海外當地國之法律規定。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公司辦理有價證券買賣融資融券，是否指派經主管機關認可機構訓練及測驗合格之業務人員承辦業務。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公司辦理有價證券買賣融資融券，是否指派經主管機關認可機構訓練及測驗合格之業務人員承辦業務。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公司下列人員是否具備高級業務員之資格：</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公司下列人員是否具備高級業務員之資格：</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從事「證券商負責人與業務人員管理規則」第八條第一項規定之部門主管(外國證券商在中華民國境內分支機構之財務及股務部門主管除外)。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從事「證券商負責人與業務人員管理規則」第八條第一項規定之部門主管(外國證券商在中華民國境內分支機構之財務及股務部門主管除外)。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投資分析人員或向客戶推介買賣有價證券之研究報告撰寫或複核者。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投資分析人員或向客戶推介買賣有價證券之研究報告撰寫或複核者。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內部稽核人員 (具有業務員資格並經參加主管機關所認可機構舉辦之內部稽核人員訓練及格結業擔任總公司非稽核主管職務</w:t>
            </w:r>
            <w:r>
              <w:rPr>
                <w:rFonts w:hint="eastAsia" w:ascii="新細明體" w:hAnsi="新細明體" w:eastAsia="新細明體" w:cs="新細明體"/>
                <w:b/>
                <w:u w:val="single"/>
                <w:color w:val="FF0000 "/>
              </w:rPr>
              <w:t>、分支機構</w:t>
            </w:r>
            <w:r>
              <w:rPr>
                <w:rFonts w:hint="eastAsia" w:ascii="新細明體" w:hAnsi="新細明體" w:eastAsia="新細明體" w:cs="新細明體"/>
              </w:rPr>
              <w:t>或</w:t>
            </w:r>
            <w:r>
              <w:rPr>
                <w:rFonts w:hint="eastAsia" w:ascii="新細明體" w:hAnsi="新細明體" w:eastAsia="新細明體" w:cs="新細明體"/>
                <w:b/>
                <w:u w:val="single"/>
                <w:color w:val="FF0000 "/>
              </w:rPr>
              <w:t>簡易</w:t>
            </w:r>
            <w:r>
              <w:rPr>
                <w:rFonts w:hint="eastAsia" w:ascii="新細明體" w:hAnsi="新細明體" w:eastAsia="新細明體" w:cs="新細明體"/>
              </w:rPr>
              <w:t>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稽核工作者除外)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內部稽核人員 (具有業務員資格並經參加主管機關所認可機構舉辦之內部稽核人員訓練及格結業擔任總公司非稽核主管職務或分</w:t>
            </w:r>
            <w:r>
              <w:rPr>
                <w:rFonts w:hint="eastAsia" w:ascii="新細明體" w:hAnsi="新細明體" w:eastAsia="新細明體" w:cs="新細明體"/>
                <w:b/>
                <w:color w:val="FF0000 "/>
              </w:rPr>
              <w:t>公司</w:t>
            </w:r>
            <w:r>
              <w:rPr>
                <w:rFonts w:hint="eastAsia" w:ascii="新細明體" w:hAnsi="新細明體" w:eastAsia="新細明體" w:cs="新細明體"/>
              </w:rPr>
              <w:t>稽核工作者除外)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分支機構</w:t>
            </w:r>
            <w:r>
              <w:rPr>
                <w:rFonts w:hint="eastAsia" w:ascii="新細明體" w:hAnsi="新細明體" w:eastAsia="新細明體" w:cs="新細明體"/>
                <w:b/>
                <w:u w:val="single"/>
                <w:color w:val="FF0000 "/>
              </w:rPr>
              <w:t>及簡易分支機構</w:t>
            </w:r>
            <w:r>
              <w:rPr>
                <w:rFonts w:hint="eastAsia" w:ascii="新細明體" w:hAnsi="新細明體" w:eastAsia="新細明體" w:cs="新細明體"/>
              </w:rPr>
              <w:t>負責人(外國證券商在中華民國境內分支機構之負責人除外)。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分支機構負責人(外國證券商在中華民國境內分支機構之負責人除外)。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登記為事務員是否未執行或兼為高級業務員及業務員之業務；登記為業務員者是否未執行或兼為高級業務員之業務。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登記為事務員是否未執行或兼為高級業務員及業務員之業務；登記為業務員者是否未執行或兼為高級業務員之業務。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負責人、業務人員及事務員有異動時，是否於異動後五日內向證交所、券商公會或櫃檯買賣中心申報登記。惟如係國外分支機構，其申報登記是否於異動後十日內為之。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負責人、業務人員及事務員有異動時，是否於異動後五日內向證交所、券商公會或櫃檯買賣中心申報登記。惟如係國外分支機構，其申報登記是否於異動後十日內為之。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內部稽核人員之異動，是否於異動前先申請證交所、券商公會或櫃檯買賣中心核備後，始得異動之。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內部稽核人員之異動，是否於異動前先申請證交所、券商公會或櫃檯買賣中心核備後，始得異動之。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敘薪是否依人事制度簽報核准後支給。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敘薪是否依人事制度簽報核准後支給。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僱用經主管機關依證券交易法規定命令解除職務期限未滿之人員從事「證券商負責人與業務人員管理規則」第二條第二項各款以外業務者，是否向證交所申報登記。僱用經期貨交易法解除職務在案之人員從事證券業務之執行，是否就其業務風險之控管及客戶權益之保障作充分考量，並於向證交所(櫃檯買賣中心或公會)進行人員登記時，出具聲明，表達其將善盡善良管理人之義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僱用經主管機關依證券交易法規定命令解除職務期限未滿之人員從事「證券商負責人與業務人員管理規則」第二條第二項各款以外業務者，是否向證交所申報登記。僱用經期貨交易法解除職務在案之人員從事證券業務之執行，是否就其業務風險之控管及客戶權益之保障作充分考量，並於向證交所(櫃檯買賣中心或公會)進行人員登記時，出具聲明，表達其將善盡善良管理人之義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展業人員之管理：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展業人員之管理：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是否由合格且經辦妥登記之業務人員執行職務。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是否由合格且經辦妥登記之業務人員執行職務。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展業人員之工作項目、範圍、執行業務所填具之「推展業務紀錄表」(至少保存一年)及其推展業績獎金計算與發放辦法，是否依公司自訂之「展業人員管理辦法」辦理。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展業人員之工作項目、範圍、執行業務所填具之「推展業務紀錄表」(至少保存一年)及其推展業績獎金計算與發放辦法，是否依公司自訂之「展業人員管理辦法」辦理。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業務人員之職稱是否依「證券商負責人與業務人員管理規則」第三條及主管機關規定辦理，是否未使用易使客戶滋生誤解之名稱執行業務。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業務人員之職稱是否依「證券商負責人與業務人員管理規則」第三條及主管機關規定辦理，是否未使用易使客戶滋生誤解之名稱執行業務。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公司之董事長、總經理暨「證券商負責人與業務人員管理規則」第八條第一項所定部門之主管、督導該部門或各該部門之副總經理、協理、經理及分支機構負責人之資格是否符合「證券商負責人與業務人員管理規則」相關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公司之董事長、總經理暨「證券商負責人與業務人員管理規則」第八條第一項所定部門之主管、督導該部門或各該部門之副總經理、協理、經理及分支機構負責人之資格是否符合「證券商負責人與業務人員管理規則」相關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公司投資創業投資事業或私募股權基金（含公司或其直接、間接持股百分之百之子公司在大陸地區及外國所投資者）、受託管理私募股權基金，除適用證券商負責人與業務人員管理規則第十一條之一之限制外，公司之負責人或受僱人是否亦未擔任該創業投資事業或私募股權基金所投資事業之經理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公司投資創業投資事業或私募股權基金（含公司或其直接、間接持股百分之百之子公司在大陸地區及外國所投資者）、受託管理私募股權基金，除適用證券商負責人與業務人員管理規則第十一條之一之限制外，公司之負責人或受僱人是否亦未擔任該創業投資事業或私募股權基金所投資事業之經理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為同時辦理證券及期貨之相同性質業務，是否由兼具證券及期貨業務員資格之業務員辦理。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為同時辦理證券及期貨之相同性質業務，是否由兼具證券及期貨業務員資格之業務員辦理。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由總公司統籌辦理分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信用及財務等後檯相關業務者，是否依公司自訂之總公司統籌辦理作業流程及管控措施等規範辦理。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由總公司統籌辦理分</w:t>
            </w:r>
            <w:r>
              <w:rPr>
                <w:rFonts w:hint="eastAsia" w:ascii="新細明體" w:hAnsi="新細明體" w:eastAsia="新細明體" w:cs="新細明體"/>
                <w:b/>
                <w:color w:val="FF0000 "/>
              </w:rPr>
              <w:t>公司</w:t>
            </w:r>
            <w:r>
              <w:rPr>
                <w:rFonts w:hint="eastAsia" w:ascii="新細明體" w:hAnsi="新細明體" w:eastAsia="新細明體" w:cs="新細明體"/>
              </w:rPr>
              <w:t>信用及財務等後檯相關業務者，是否依公司自訂之總公司統籌辦理作業流程及管控措施等規範辦理。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(二十二)</w:t>
            </w:r>
            <w:r>
              <w:rPr>
                <w:rFonts w:hint="eastAsia" w:ascii="新細明體" w:hAnsi="新細明體" w:eastAsia="新細明體" w:cs="新細明體"/>
              </w:rPr>
              <w:t>公司如為上市或上櫃證券商及金融控股公司之證券子公司，內部稽核主管是否具備「證券商負責人與業務人員管理規則」第十條第一項所定之資格條件，且其職位等同於副總經理或同等職務，並報經主管機關審查合格後始充任。</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(二十二)</w:t>
            </w:r>
            <w:r>
              <w:rPr>
                <w:rFonts w:hint="eastAsia" w:ascii="新細明體" w:hAnsi="新細明體" w:eastAsia="新細明體" w:cs="新細明體"/>
              </w:rPr>
              <w:t>公司如為上市或上櫃證券商及金融控股公司之證券子公司，內部稽核主管是否具備「證券商負責人與業務人員管理規則」第十條第一項所定之資格條件，且其職位等同於副總經理或同等職務，並報經主管機關審查合格後始充任。</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(二十三)</w:t>
            </w:r>
            <w:r>
              <w:rPr>
                <w:rFonts w:hint="eastAsia" w:ascii="新細明體" w:hAnsi="新細明體" w:eastAsia="新細明體" w:cs="新細明體"/>
              </w:rPr>
              <w:t>內部稽核單位之人事任用、免職、升遷、獎懲、輪調及考核等，是否由稽核主管簽報，報經董事長核定後辦理。但涉及其他管理、營業單位人事者，是否事先洽商人事單位轉報總經理同意後，再行簽報董事長核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(二十三)</w:t>
            </w:r>
            <w:r>
              <w:rPr>
                <w:rFonts w:hint="eastAsia" w:ascii="新細明體" w:hAnsi="新細明體" w:eastAsia="新細明體" w:cs="新細明體"/>
              </w:rPr>
              <w:t>內部稽核單位之人事任用、免職、升遷、獎懲、輪調及考核等，是否由稽核主管簽報，報經董事長核定後辦理。但涉及其他管理、營業單位人事者，是否事先洽商人事單位轉報總經理同意後，再行簽報董事長核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(二十四)</w:t>
            </w:r>
            <w:r>
              <w:rPr>
                <w:rFonts w:hint="eastAsia" w:ascii="新細明體" w:hAnsi="新細明體" w:eastAsia="新細明體" w:cs="新細明體"/>
              </w:rPr>
              <w:t>公司是否置總經理一人，負責綜理全公司之業務，且是否無其他職責相當之人。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(二十四)</w:t>
            </w:r>
            <w:r>
              <w:rPr>
                <w:rFonts w:hint="eastAsia" w:ascii="新細明體" w:hAnsi="新細明體" w:eastAsia="新細明體" w:cs="新細明體"/>
              </w:rPr>
              <w:t>公司是否置總經理一人，負責綜理全公司之業務，且是否無其他職責相當之人。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(二十五)</w:t>
            </w:r>
            <w:r>
              <w:rPr>
                <w:rFonts w:hint="eastAsia" w:ascii="新細明體" w:hAnsi="新細明體" w:eastAsia="新細明體" w:cs="新細明體"/>
              </w:rPr>
              <w:t>公司之董事長是否未兼任總經理。但有證券商負責人與業務人員管理規則第9條第5項各款情形之一，經主管機關核准者，不在此限。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(二十五)</w:t>
            </w:r>
            <w:r>
              <w:rPr>
                <w:rFonts w:hint="eastAsia" w:ascii="新細明體" w:hAnsi="新細明體" w:eastAsia="新細明體" w:cs="新細明體"/>
              </w:rPr>
              <w:t>公司之董事長是否未兼任總經理。但有證券商負責人與業務人員管理規則第9條第5項各款情形之一，經主管機關核准者，不在此限。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(二十六)</w:t>
            </w:r>
            <w:r>
              <w:rPr>
                <w:rFonts w:hint="eastAsia" w:ascii="新細明體" w:hAnsi="新細明體" w:eastAsia="新細明體" w:cs="新細明體"/>
              </w:rPr>
              <w:t>公司聘任非屬一般員工之顧問、助理或職務相當之人，是否與遴聘對象簽訂書面契約，並訂定相關作業程序；相關作業程序、顧問或助理之遴聘及報酬之給付是否報經董事會通過後執行。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(二十六)</w:t>
            </w:r>
            <w:r>
              <w:rPr>
                <w:rFonts w:hint="eastAsia" w:ascii="新細明體" w:hAnsi="新細明體" w:eastAsia="新細明體" w:cs="新細明體"/>
              </w:rPr>
              <w:t>公司聘任非屬一般員工之顧問、助理或職務相當之人，是否與遴聘對象簽訂書面契約，並訂定相關作業程序；相關作業程序、顧問或助理之遴聘及報酬之給付是否報經董事會通過後執行。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270"/>
            </w:pPr>
            <w:r>
              <w:rPr>
                <w:rFonts w:hint="eastAsia" w:ascii="新細明體" w:hAnsi="新細明體" w:eastAsia="新細明體" w:cs="新細明體"/>
              </w:rPr>
              <w:t>(二十七)</w:t>
            </w:r>
            <w:r>
              <w:rPr>
                <w:rFonts w:hint="eastAsia" w:ascii="新細明體" w:hAnsi="新細明體" w:eastAsia="新細明體" w:cs="新細明體"/>
              </w:rPr>
              <w:t>公司負責人之兼任行為，是否符合證券商負責人與業務人員管理規則第十一條之一規定。公司是否定期對負責人兼任職務之績效予以考核，作為繼續兼任及酌減兼任職務之重要參考。</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(二十七)</w:t>
            </w:r>
            <w:r>
              <w:rPr>
                <w:rFonts w:hint="eastAsia" w:ascii="新細明體" w:hAnsi="新細明體" w:eastAsia="新細明體" w:cs="新細明體"/>
              </w:rPr>
              <w:t>公司負責人之兼任行為，是否符合證券商負責人與業務人員管理規則第十一條之一規定。公司是否定期對負責人兼任職務之績效予以考核，作為繼續兼任及酌減兼任職務之重要參考。</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